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806467" w:rsidRPr="00A54B84" w:rsidTr="00A80AC7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A54B84" w:rsidRDefault="00806467" w:rsidP="00A80A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54B84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06467" w:rsidRPr="00A54B84" w:rsidRDefault="00CF328E" w:rsidP="00A80AC7">
            <w:pPr>
              <w:jc w:val="center"/>
              <w:rPr>
                <w:rFonts w:asciiTheme="minorHAnsi" w:hAnsiTheme="minorHAnsi" w:cstheme="minorHAnsi"/>
              </w:rPr>
            </w:pPr>
            <w:r w:rsidRPr="00A54B84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4DE69F72" wp14:editId="237FBD32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61099D" w:rsidRPr="00A54B84" w:rsidRDefault="0061099D" w:rsidP="0061099D">
            <w:pPr>
              <w:rPr>
                <w:rFonts w:asciiTheme="minorHAnsi" w:hAnsiTheme="minorHAnsi" w:cstheme="minorHAnsi"/>
                <w:b/>
                <w:i/>
              </w:rPr>
            </w:pPr>
            <w:r w:rsidRPr="00A54B84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 xml:space="preserve"> </w:t>
            </w:r>
            <w:r w:rsidR="00392B67" w:rsidRPr="00A54B84">
              <w:rPr>
                <w:rFonts w:asciiTheme="minorHAnsi" w:hAnsiTheme="minorHAnsi" w:cstheme="minorHAnsi"/>
                <w:b/>
                <w:i/>
              </w:rPr>
              <w:t>Tromjesečno</w:t>
            </w:r>
          </w:p>
          <w:p w:rsidR="00806467" w:rsidRPr="00A54B84" w:rsidRDefault="00806467" w:rsidP="00A80AC7">
            <w:pPr>
              <w:jc w:val="center"/>
              <w:rPr>
                <w:rFonts w:asciiTheme="minorHAnsi" w:hAnsiTheme="minorHAnsi" w:cstheme="minorHAnsi"/>
              </w:rPr>
            </w:pPr>
            <w:r w:rsidRPr="00A54B84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PRIOPĆENJE</w:t>
            </w:r>
          </w:p>
        </w:tc>
      </w:tr>
      <w:tr w:rsidR="00806467" w:rsidRPr="00A54B84" w:rsidTr="00A80AC7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A54B84" w:rsidRDefault="00806467" w:rsidP="00A80A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54B84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A54B84" w:rsidRDefault="008064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A54B84" w:rsidRDefault="00806467" w:rsidP="00A80AC7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806467" w:rsidRPr="00A54B84" w:rsidTr="00A80AC7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AA6341" w:rsidRDefault="00806467" w:rsidP="00A80A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54B84">
              <w:rPr>
                <w:rFonts w:asciiTheme="minorHAnsi" w:hAnsiTheme="minorHAnsi" w:cstheme="minorHAnsi"/>
                <w:sz w:val="18"/>
                <w:szCs w:val="18"/>
              </w:rPr>
              <w:t xml:space="preserve">GRADSKI </w:t>
            </w:r>
            <w:r w:rsidR="00FB5E5B" w:rsidRPr="00A54B84">
              <w:rPr>
                <w:rFonts w:asciiTheme="minorHAnsi" w:hAnsiTheme="minorHAnsi" w:cstheme="minorHAnsi"/>
                <w:sz w:val="18"/>
                <w:szCs w:val="18"/>
              </w:rPr>
              <w:t xml:space="preserve">URED ZA STRATEGIJSKO </w:t>
            </w:r>
          </w:p>
          <w:p w:rsidR="00806467" w:rsidRPr="00A54B84" w:rsidRDefault="00FB5E5B" w:rsidP="00A80A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54B84">
              <w:rPr>
                <w:rFonts w:asciiTheme="minorHAnsi" w:hAnsiTheme="minorHAnsi" w:cstheme="minorHAns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A54B84" w:rsidRDefault="008064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A54B84" w:rsidRDefault="00806467">
            <w:pPr>
              <w:rPr>
                <w:rFonts w:asciiTheme="minorHAnsi" w:hAnsiTheme="minorHAnsi" w:cstheme="minorHAnsi"/>
              </w:rPr>
            </w:pPr>
          </w:p>
        </w:tc>
      </w:tr>
      <w:tr w:rsidR="00806467" w:rsidRPr="00A54B84" w:rsidTr="00A80AC7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A54B84" w:rsidRDefault="00806467" w:rsidP="00A80AC7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54B84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A54B84" w:rsidRDefault="008064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A54B84" w:rsidRDefault="00806467">
            <w:pPr>
              <w:rPr>
                <w:rFonts w:asciiTheme="minorHAnsi" w:hAnsiTheme="minorHAnsi" w:cstheme="minorHAnsi"/>
              </w:rPr>
            </w:pPr>
          </w:p>
        </w:tc>
      </w:tr>
    </w:tbl>
    <w:p w:rsidR="000637E9" w:rsidRPr="00A54B84" w:rsidRDefault="000637E9" w:rsidP="00D321DA">
      <w:pPr>
        <w:spacing w:line="180" w:lineRule="exact"/>
        <w:rPr>
          <w:rFonts w:asciiTheme="minorHAnsi" w:hAnsiTheme="minorHAnsi" w:cstheme="minorHAnsi"/>
        </w:rPr>
      </w:pPr>
    </w:p>
    <w:p w:rsidR="00BB4DA5" w:rsidRPr="00A54B84" w:rsidRDefault="00BB4DA5" w:rsidP="00BB4DA5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A54B84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A54B84">
        <w:rPr>
          <w:rFonts w:asciiTheme="minorHAnsi" w:hAnsiTheme="minorHAnsi" w:cstheme="minorHAnsi"/>
          <w:spacing w:val="-2"/>
          <w:sz w:val="19"/>
        </w:rPr>
        <w:tab/>
        <w:t>TELE</w:t>
      </w:r>
      <w:r w:rsidR="00AA25E7" w:rsidRPr="00A54B84">
        <w:rPr>
          <w:rFonts w:asciiTheme="minorHAnsi" w:hAnsiTheme="minorHAnsi" w:cstheme="minorHAnsi"/>
          <w:spacing w:val="-2"/>
          <w:sz w:val="19"/>
        </w:rPr>
        <w:t>FON: 01/610-1950</w:t>
      </w:r>
      <w:r w:rsidR="00AA25E7" w:rsidRPr="00A54B84">
        <w:rPr>
          <w:rFonts w:asciiTheme="minorHAnsi" w:hAnsiTheme="minorHAnsi" w:cstheme="minorHAnsi"/>
          <w:spacing w:val="-2"/>
          <w:sz w:val="19"/>
        </w:rPr>
        <w:tab/>
      </w:r>
      <w:r w:rsidR="00A54B84" w:rsidRPr="00A54B84">
        <w:rPr>
          <w:rFonts w:asciiTheme="minorHAnsi" w:hAnsiTheme="minorHAnsi" w:cstheme="minorHAnsi"/>
          <w:spacing w:val="-2"/>
          <w:sz w:val="19"/>
        </w:rPr>
        <w:t xml:space="preserve">      </w:t>
      </w:r>
      <w:r w:rsidR="00AA25E7" w:rsidRPr="00A54B84">
        <w:rPr>
          <w:rFonts w:asciiTheme="minorHAnsi" w:hAnsiTheme="minorHAnsi" w:cstheme="minorHAnsi"/>
          <w:spacing w:val="-2"/>
          <w:sz w:val="19"/>
        </w:rPr>
        <w:t>TELEFAX: 01/</w:t>
      </w:r>
      <w:r w:rsidR="002322DE" w:rsidRPr="00A54B84">
        <w:rPr>
          <w:rFonts w:asciiTheme="minorHAnsi" w:hAnsiTheme="minorHAnsi" w:cstheme="minorHAnsi"/>
          <w:spacing w:val="-2"/>
          <w:sz w:val="19"/>
        </w:rPr>
        <w:t>616</w:t>
      </w:r>
      <w:r w:rsidR="00AA25E7" w:rsidRPr="00A54B84">
        <w:rPr>
          <w:rFonts w:asciiTheme="minorHAnsi" w:hAnsiTheme="minorHAnsi" w:cstheme="minorHAnsi"/>
          <w:spacing w:val="-2"/>
          <w:sz w:val="19"/>
        </w:rPr>
        <w:t>-</w:t>
      </w:r>
      <w:r w:rsidR="002322DE" w:rsidRPr="00A54B84">
        <w:rPr>
          <w:rFonts w:asciiTheme="minorHAnsi" w:hAnsiTheme="minorHAnsi" w:cstheme="minorHAnsi"/>
          <w:spacing w:val="-2"/>
          <w:sz w:val="19"/>
        </w:rPr>
        <w:t>6098</w:t>
      </w:r>
      <w:r w:rsidR="00874C45" w:rsidRPr="00A54B84">
        <w:rPr>
          <w:rFonts w:asciiTheme="minorHAnsi" w:hAnsiTheme="minorHAnsi" w:cstheme="minorHAnsi"/>
          <w:spacing w:val="-2"/>
          <w:sz w:val="19"/>
        </w:rPr>
        <w:tab/>
      </w:r>
      <w:r w:rsidRPr="00A54B84">
        <w:rPr>
          <w:rFonts w:asciiTheme="minorHAnsi" w:hAnsiTheme="minorHAnsi" w:cstheme="minorHAnsi"/>
          <w:spacing w:val="-2"/>
          <w:sz w:val="19"/>
        </w:rPr>
        <w:tab/>
      </w:r>
      <w:r w:rsidR="00A54B84">
        <w:rPr>
          <w:rFonts w:asciiTheme="minorHAnsi" w:hAnsiTheme="minorHAnsi" w:cstheme="minorHAnsi"/>
          <w:spacing w:val="-2"/>
          <w:sz w:val="19"/>
        </w:rPr>
        <w:t xml:space="preserve">                        </w:t>
      </w:r>
      <w:r w:rsidR="006405DC">
        <w:rPr>
          <w:rFonts w:asciiTheme="minorHAnsi" w:hAnsiTheme="minorHAnsi" w:cstheme="minorHAnsi"/>
          <w:spacing w:val="-2"/>
          <w:sz w:val="19"/>
        </w:rPr>
        <w:t>12</w:t>
      </w:r>
      <w:r w:rsidR="001014E7">
        <w:rPr>
          <w:rFonts w:asciiTheme="minorHAnsi" w:hAnsiTheme="minorHAnsi" w:cstheme="minorHAnsi"/>
          <w:spacing w:val="-2"/>
          <w:sz w:val="19"/>
        </w:rPr>
        <w:t>.09.</w:t>
      </w:r>
      <w:r w:rsidRPr="00A54B84">
        <w:rPr>
          <w:rFonts w:asciiTheme="minorHAnsi" w:hAnsiTheme="minorHAnsi" w:cstheme="minorHAnsi"/>
          <w:spacing w:val="-2"/>
          <w:sz w:val="19"/>
        </w:rPr>
        <w:t xml:space="preserve"> 20</w:t>
      </w:r>
      <w:r w:rsidR="00BD09D6" w:rsidRPr="00A54B84">
        <w:rPr>
          <w:rFonts w:asciiTheme="minorHAnsi" w:hAnsiTheme="minorHAnsi" w:cstheme="minorHAnsi"/>
          <w:spacing w:val="-2"/>
          <w:sz w:val="19"/>
        </w:rPr>
        <w:t>1</w:t>
      </w:r>
      <w:r w:rsidR="0054507B">
        <w:rPr>
          <w:rFonts w:asciiTheme="minorHAnsi" w:hAnsiTheme="minorHAnsi" w:cstheme="minorHAnsi"/>
          <w:spacing w:val="-2"/>
          <w:sz w:val="19"/>
        </w:rPr>
        <w:t>6</w:t>
      </w:r>
      <w:r w:rsidRPr="00A54B84">
        <w:rPr>
          <w:rFonts w:asciiTheme="minorHAnsi" w:hAnsiTheme="minorHAnsi" w:cstheme="minorHAns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B4DA5" w:rsidRPr="00A54B84" w:rsidTr="00A80AC7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B4DA5" w:rsidRPr="00A54B84" w:rsidRDefault="00046E35" w:rsidP="00A80AC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54B84">
              <w:rPr>
                <w:rFonts w:asciiTheme="minorHAnsi" w:hAnsiTheme="minorHAnsi" w:cstheme="minorHAnsi"/>
                <w:b/>
              </w:rPr>
              <w:t>PRIJEVOZ I SKLADIŠTENJE</w:t>
            </w:r>
          </w:p>
        </w:tc>
      </w:tr>
    </w:tbl>
    <w:p w:rsidR="00CE20C7" w:rsidRPr="00A54B84" w:rsidRDefault="0061099D">
      <w:pPr>
        <w:rPr>
          <w:rFonts w:asciiTheme="minorHAnsi" w:hAnsiTheme="minorHAnsi" w:cstheme="minorHAnsi"/>
          <w:sz w:val="20"/>
          <w:szCs w:val="20"/>
        </w:rPr>
      </w:pPr>
      <w:r w:rsidRPr="00A54B84">
        <w:rPr>
          <w:rFonts w:asciiTheme="minorHAnsi" w:hAnsiTheme="minorHAnsi" w:cstheme="minorHAnsi"/>
          <w:sz w:val="20"/>
          <w:szCs w:val="20"/>
        </w:rPr>
        <w:t>www.zagreb.hr</w:t>
      </w:r>
    </w:p>
    <w:p w:rsidR="00733312" w:rsidRDefault="001014E7" w:rsidP="00733312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026675">
        <w:rPr>
          <w:rFonts w:asciiTheme="minorHAnsi" w:hAnsiTheme="minorHAnsi" w:cstheme="minorHAnsi"/>
          <w:b/>
        </w:rPr>
        <w:t>I</w:t>
      </w:r>
      <w:r w:rsidR="00733312" w:rsidRPr="00A54B84">
        <w:rPr>
          <w:rFonts w:asciiTheme="minorHAnsi" w:hAnsiTheme="minorHAnsi" w:cstheme="minorHAnsi"/>
          <w:b/>
        </w:rPr>
        <w:t>.</w:t>
      </w:r>
      <w:r w:rsidR="00AE6F1C" w:rsidRPr="00A54B84">
        <w:rPr>
          <w:rFonts w:asciiTheme="minorHAnsi" w:hAnsiTheme="minorHAnsi" w:cstheme="minorHAnsi"/>
          <w:b/>
        </w:rPr>
        <w:t xml:space="preserve"> tromjesečje</w:t>
      </w:r>
      <w:r w:rsidR="00733312" w:rsidRPr="00A54B84">
        <w:rPr>
          <w:rFonts w:asciiTheme="minorHAnsi" w:hAnsiTheme="minorHAnsi" w:cstheme="minorHAnsi"/>
          <w:b/>
        </w:rPr>
        <w:t xml:space="preserve">  20</w:t>
      </w:r>
      <w:r w:rsidR="00665063" w:rsidRPr="00A54B84">
        <w:rPr>
          <w:rFonts w:asciiTheme="minorHAnsi" w:hAnsiTheme="minorHAnsi" w:cstheme="minorHAnsi"/>
          <w:b/>
        </w:rPr>
        <w:t>1</w:t>
      </w:r>
      <w:r w:rsidR="00BE5E69">
        <w:rPr>
          <w:rFonts w:asciiTheme="minorHAnsi" w:hAnsiTheme="minorHAnsi" w:cstheme="minorHAnsi"/>
          <w:b/>
        </w:rPr>
        <w:t>6</w:t>
      </w:r>
      <w:r w:rsidR="00733312" w:rsidRPr="00A54B84">
        <w:rPr>
          <w:rFonts w:asciiTheme="minorHAnsi" w:hAnsiTheme="minorHAnsi" w:cstheme="minorHAnsi"/>
          <w:b/>
        </w:rPr>
        <w:t>.</w:t>
      </w:r>
    </w:p>
    <w:p w:rsidR="00DF7004" w:rsidRDefault="00DF7004" w:rsidP="00733312">
      <w:pPr>
        <w:jc w:val="right"/>
        <w:rPr>
          <w:rFonts w:asciiTheme="minorHAnsi" w:hAnsiTheme="minorHAnsi" w:cstheme="minorHAnsi"/>
          <w:b/>
        </w:rPr>
      </w:pPr>
    </w:p>
    <w:p w:rsidR="00071728" w:rsidRDefault="00071728" w:rsidP="006B3321">
      <w:pPr>
        <w:rPr>
          <w:rFonts w:asciiTheme="minorHAnsi" w:hAnsiTheme="minorHAnsi" w:cstheme="minorHAnsi"/>
          <w:b/>
        </w:rPr>
      </w:pPr>
    </w:p>
    <w:p w:rsidR="00071728" w:rsidRPr="00A54B84" w:rsidRDefault="00071728" w:rsidP="00733312">
      <w:pPr>
        <w:jc w:val="right"/>
        <w:rPr>
          <w:rFonts w:asciiTheme="minorHAnsi" w:hAnsiTheme="minorHAnsi" w:cstheme="minorHAnsi"/>
          <w:b/>
        </w:rPr>
      </w:pPr>
    </w:p>
    <w:p w:rsidR="00F83387" w:rsidRDefault="00C62DBE" w:rsidP="005A39F5">
      <w:pPr>
        <w:jc w:val="center"/>
        <w:rPr>
          <w:rFonts w:asciiTheme="minorHAnsi" w:hAnsiTheme="minorHAnsi" w:cstheme="minorHAnsi"/>
        </w:rPr>
      </w:pPr>
      <w:r w:rsidRPr="00C62DBE">
        <w:drawing>
          <wp:inline distT="0" distB="0" distL="0" distR="0">
            <wp:extent cx="4712400" cy="5742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400" cy="57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07B" w:rsidRDefault="0054507B" w:rsidP="00DF7004">
      <w:pPr>
        <w:jc w:val="center"/>
        <w:rPr>
          <w:rFonts w:asciiTheme="minorHAnsi" w:hAnsiTheme="minorHAnsi" w:cstheme="minorHAnsi"/>
        </w:rPr>
      </w:pPr>
    </w:p>
    <w:p w:rsidR="0054507B" w:rsidRDefault="0054507B">
      <w:pPr>
        <w:rPr>
          <w:rFonts w:asciiTheme="minorHAnsi" w:hAnsiTheme="minorHAnsi" w:cstheme="minorHAnsi"/>
        </w:rPr>
      </w:pPr>
    </w:p>
    <w:p w:rsidR="00CE60BF" w:rsidRDefault="00CE60BF" w:rsidP="00F84324">
      <w:pPr>
        <w:jc w:val="center"/>
        <w:rPr>
          <w:rFonts w:asciiTheme="minorHAnsi" w:hAnsiTheme="minorHAnsi" w:cstheme="minorHAnsi"/>
        </w:rPr>
      </w:pPr>
    </w:p>
    <w:p w:rsidR="00450A05" w:rsidRDefault="00450A05" w:rsidP="00F84324">
      <w:pPr>
        <w:rPr>
          <w:rFonts w:asciiTheme="minorHAnsi" w:hAnsiTheme="minorHAnsi" w:cstheme="minorHAnsi"/>
        </w:rPr>
      </w:pPr>
    </w:p>
    <w:p w:rsidR="0054507B" w:rsidRDefault="0054507B" w:rsidP="00416BFA">
      <w:pPr>
        <w:jc w:val="center"/>
        <w:rPr>
          <w:rFonts w:asciiTheme="minorHAnsi" w:hAnsiTheme="minorHAnsi" w:cstheme="minorHAnsi"/>
        </w:rPr>
      </w:pPr>
    </w:p>
    <w:p w:rsidR="005A39F5" w:rsidRDefault="005A39F5" w:rsidP="00416BFA">
      <w:pPr>
        <w:jc w:val="center"/>
        <w:rPr>
          <w:rFonts w:asciiTheme="minorHAnsi" w:hAnsiTheme="minorHAnsi" w:cstheme="minorHAnsi"/>
        </w:rPr>
      </w:pPr>
    </w:p>
    <w:p w:rsidR="0054507B" w:rsidRDefault="00C62DBE" w:rsidP="00416BFA">
      <w:pPr>
        <w:jc w:val="center"/>
        <w:rPr>
          <w:rFonts w:asciiTheme="minorHAnsi" w:hAnsiTheme="minorHAnsi" w:cstheme="minorHAnsi"/>
        </w:rPr>
      </w:pPr>
      <w:r w:rsidRPr="00C62DBE">
        <w:lastRenderedPageBreak/>
        <w:drawing>
          <wp:inline distT="0" distB="0" distL="0" distR="0">
            <wp:extent cx="5000400" cy="2080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400" cy="20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321" w:rsidRDefault="006B3321" w:rsidP="00416BFA">
      <w:pPr>
        <w:jc w:val="center"/>
        <w:rPr>
          <w:rFonts w:asciiTheme="minorHAnsi" w:hAnsiTheme="minorHAnsi" w:cstheme="minorHAnsi"/>
        </w:rPr>
      </w:pPr>
    </w:p>
    <w:p w:rsidR="0054507B" w:rsidRDefault="0054507B" w:rsidP="00416BFA">
      <w:pPr>
        <w:jc w:val="center"/>
        <w:rPr>
          <w:rFonts w:asciiTheme="minorHAnsi" w:hAnsiTheme="minorHAnsi" w:cstheme="minorHAnsi"/>
        </w:rPr>
      </w:pPr>
    </w:p>
    <w:p w:rsidR="0054507B" w:rsidRDefault="00C62DBE" w:rsidP="00416BF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5F6C9550">
            <wp:extent cx="4748400" cy="2592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400" cy="259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507B" w:rsidRDefault="0054507B" w:rsidP="00416BFA">
      <w:pPr>
        <w:jc w:val="center"/>
        <w:rPr>
          <w:rFonts w:asciiTheme="minorHAnsi" w:hAnsiTheme="minorHAnsi" w:cstheme="minorHAnsi"/>
        </w:rPr>
      </w:pPr>
    </w:p>
    <w:p w:rsidR="00C62DBE" w:rsidRDefault="00C62DBE" w:rsidP="00416BFA">
      <w:pPr>
        <w:jc w:val="center"/>
        <w:rPr>
          <w:rFonts w:asciiTheme="minorHAnsi" w:hAnsiTheme="minorHAnsi" w:cstheme="minorHAnsi"/>
        </w:rPr>
      </w:pPr>
    </w:p>
    <w:p w:rsidR="00C62DBE" w:rsidRDefault="00C62DBE" w:rsidP="00416BFA">
      <w:pPr>
        <w:jc w:val="center"/>
        <w:rPr>
          <w:rFonts w:asciiTheme="minorHAnsi" w:hAnsiTheme="minorHAnsi" w:cstheme="minorHAnsi"/>
        </w:rPr>
      </w:pPr>
    </w:p>
    <w:p w:rsidR="0054507B" w:rsidRDefault="00C62DBE" w:rsidP="00416BFA">
      <w:pPr>
        <w:jc w:val="center"/>
        <w:rPr>
          <w:rFonts w:asciiTheme="minorHAnsi" w:hAnsiTheme="minorHAnsi" w:cstheme="minorHAnsi"/>
        </w:rPr>
      </w:pPr>
      <w:r w:rsidRPr="00C62DBE">
        <w:drawing>
          <wp:inline distT="0" distB="0" distL="0" distR="0">
            <wp:extent cx="5004000" cy="225360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000" cy="22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321" w:rsidRDefault="006B3321" w:rsidP="00416BFA">
      <w:pPr>
        <w:jc w:val="center"/>
        <w:rPr>
          <w:rFonts w:asciiTheme="minorHAnsi" w:hAnsiTheme="minorHAnsi" w:cstheme="minorHAnsi"/>
        </w:rPr>
      </w:pPr>
    </w:p>
    <w:p w:rsidR="005A39F5" w:rsidRDefault="005A39F5" w:rsidP="00416BFA">
      <w:pPr>
        <w:jc w:val="center"/>
        <w:rPr>
          <w:rFonts w:asciiTheme="minorHAnsi" w:hAnsiTheme="minorHAnsi" w:cstheme="minorHAnsi"/>
        </w:rPr>
      </w:pPr>
    </w:p>
    <w:p w:rsidR="005A39F5" w:rsidRDefault="005A39F5" w:rsidP="00416BFA">
      <w:pPr>
        <w:jc w:val="center"/>
        <w:rPr>
          <w:rFonts w:asciiTheme="minorHAnsi" w:hAnsiTheme="minorHAnsi" w:cstheme="minorHAnsi"/>
        </w:rPr>
      </w:pPr>
    </w:p>
    <w:p w:rsidR="0054507B" w:rsidRDefault="0054507B" w:rsidP="00416BFA">
      <w:pPr>
        <w:jc w:val="center"/>
        <w:rPr>
          <w:rFonts w:asciiTheme="minorHAnsi" w:hAnsiTheme="minorHAnsi" w:cstheme="minorHAnsi"/>
        </w:rPr>
      </w:pPr>
    </w:p>
    <w:p w:rsidR="0054507B" w:rsidRDefault="0054507B" w:rsidP="00416BFA">
      <w:pPr>
        <w:jc w:val="center"/>
        <w:rPr>
          <w:rFonts w:asciiTheme="minorHAnsi" w:hAnsiTheme="minorHAnsi" w:cstheme="minorHAnsi"/>
        </w:rPr>
      </w:pPr>
    </w:p>
    <w:p w:rsidR="0054507B" w:rsidRDefault="0054507B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54507B" w:rsidRDefault="00C62DBE" w:rsidP="00C62DBE">
      <w:pPr>
        <w:ind w:firstLine="39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62DBE">
        <w:lastRenderedPageBreak/>
        <w:drawing>
          <wp:inline distT="0" distB="0" distL="0" distR="0">
            <wp:extent cx="4222800" cy="2106000"/>
            <wp:effectExtent l="0" t="0" r="635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800" cy="21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07B" w:rsidRDefault="0054507B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54507B" w:rsidRDefault="0054507B" w:rsidP="005A39F5">
      <w:pPr>
        <w:ind w:firstLine="397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4507B" w:rsidRDefault="0054507B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</w:p>
    <w:p w:rsidR="0054507B" w:rsidRDefault="0054507B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54507B" w:rsidRDefault="00112E73" w:rsidP="00C62DBE">
      <w:pPr>
        <w:ind w:firstLine="39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noProof/>
        </w:rPr>
        <w:drawing>
          <wp:inline distT="0" distB="0" distL="0" distR="0" wp14:anchorId="26DD3CE3" wp14:editId="107587C4">
            <wp:extent cx="5419725" cy="2457450"/>
            <wp:effectExtent l="0" t="0" r="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4507B" w:rsidRDefault="0054507B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54507B" w:rsidRDefault="0054507B" w:rsidP="0054507B">
      <w:pPr>
        <w:ind w:firstLine="397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4507B" w:rsidRDefault="0054507B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54507B" w:rsidRDefault="0054507B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54507B" w:rsidRDefault="0054507B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8C23F1" w:rsidRDefault="008C23F1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4D1C38" w:rsidRDefault="004D1C38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4B0514" w:rsidRPr="00622B11" w:rsidRDefault="004B0514" w:rsidP="001D4649">
      <w:pPr>
        <w:ind w:firstLine="397"/>
        <w:rPr>
          <w:rFonts w:asciiTheme="minorHAnsi" w:hAnsiTheme="minorHAnsi" w:cstheme="minorHAnsi"/>
          <w:sz w:val="20"/>
          <w:szCs w:val="20"/>
        </w:rPr>
      </w:pPr>
      <w:r w:rsidRPr="00622B11">
        <w:rPr>
          <w:rFonts w:asciiTheme="minorHAnsi" w:hAnsiTheme="minorHAnsi" w:cstheme="minorHAnsi"/>
          <w:b/>
          <w:sz w:val="20"/>
          <w:szCs w:val="20"/>
        </w:rPr>
        <w:t>METODOLOŠKA OBJAŠNJENJA</w:t>
      </w:r>
      <w:r w:rsidRPr="00622B11">
        <w:rPr>
          <w:rFonts w:asciiTheme="minorHAnsi" w:hAnsiTheme="minorHAnsi" w:cstheme="minorHAnsi"/>
          <w:b/>
          <w:sz w:val="20"/>
          <w:szCs w:val="20"/>
          <w:vertAlign w:val="superscript"/>
        </w:rPr>
        <w:t>1</w:t>
      </w:r>
    </w:p>
    <w:p w:rsidR="0009776D" w:rsidRPr="000A15C2" w:rsidRDefault="0009776D" w:rsidP="00416BFA">
      <w:pPr>
        <w:ind w:right="397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54507B" w:rsidRDefault="0054507B" w:rsidP="00622B11">
      <w:pPr>
        <w:ind w:left="397" w:right="397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4B0514" w:rsidRPr="00622B11" w:rsidRDefault="004B0514" w:rsidP="00622B11">
      <w:pPr>
        <w:ind w:left="397" w:right="397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622B11">
        <w:rPr>
          <w:rFonts w:asciiTheme="minorHAnsi" w:hAnsiTheme="minorHAnsi" w:cstheme="minorHAnsi"/>
          <w:b/>
          <w:i/>
          <w:sz w:val="20"/>
          <w:szCs w:val="20"/>
        </w:rPr>
        <w:t>Izvor podataka</w:t>
      </w:r>
    </w:p>
    <w:p w:rsidR="004B0514" w:rsidRPr="000A15C2" w:rsidRDefault="004B0514" w:rsidP="00622B11">
      <w:pPr>
        <w:ind w:left="397" w:right="397"/>
        <w:jc w:val="both"/>
        <w:rPr>
          <w:rFonts w:asciiTheme="minorHAnsi" w:hAnsiTheme="minorHAnsi" w:cstheme="minorHAnsi"/>
          <w:sz w:val="16"/>
          <w:szCs w:val="20"/>
        </w:rPr>
      </w:pPr>
    </w:p>
    <w:p w:rsidR="00622B11" w:rsidRPr="00622B11" w:rsidRDefault="004B0514" w:rsidP="00416BFA">
      <w:pPr>
        <w:ind w:left="397" w:right="397"/>
        <w:jc w:val="both"/>
        <w:rPr>
          <w:rFonts w:asciiTheme="minorHAnsi" w:hAnsiTheme="minorHAnsi" w:cstheme="minorHAnsi"/>
          <w:sz w:val="20"/>
          <w:szCs w:val="20"/>
        </w:rPr>
      </w:pPr>
      <w:r w:rsidRPr="00622B11">
        <w:rPr>
          <w:rFonts w:asciiTheme="minorHAnsi" w:hAnsiTheme="minorHAnsi" w:cstheme="minorHAnsi"/>
          <w:sz w:val="20"/>
          <w:szCs w:val="20"/>
        </w:rPr>
        <w:tab/>
        <w:t xml:space="preserve">Podaci o cestovnom prijevozu robe prikupljeni su </w:t>
      </w:r>
      <w:r w:rsidR="008C23F1">
        <w:rPr>
          <w:rFonts w:asciiTheme="minorHAnsi" w:hAnsiTheme="minorHAnsi" w:cstheme="minorHAnsi"/>
          <w:sz w:val="20"/>
          <w:szCs w:val="20"/>
        </w:rPr>
        <w:t>statističkim istraživanjem o cestovnom prijevozu robe.</w:t>
      </w:r>
      <w:r w:rsidRPr="00622B11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93CF1" w:rsidRPr="000A15C2" w:rsidRDefault="00D93CF1" w:rsidP="00622B11">
      <w:pPr>
        <w:ind w:left="397" w:right="397" w:firstLine="312"/>
        <w:jc w:val="both"/>
        <w:rPr>
          <w:rFonts w:asciiTheme="minorHAnsi" w:hAnsiTheme="minorHAnsi" w:cstheme="minorHAnsi"/>
          <w:sz w:val="14"/>
          <w:szCs w:val="20"/>
        </w:rPr>
      </w:pPr>
    </w:p>
    <w:p w:rsidR="004B0514" w:rsidRDefault="004B0514" w:rsidP="00622B11">
      <w:pPr>
        <w:ind w:left="397" w:right="397" w:firstLine="312"/>
        <w:jc w:val="both"/>
        <w:rPr>
          <w:rFonts w:asciiTheme="minorHAnsi" w:hAnsiTheme="minorHAnsi" w:cstheme="minorHAnsi"/>
          <w:sz w:val="20"/>
          <w:szCs w:val="20"/>
        </w:rPr>
      </w:pPr>
      <w:r w:rsidRPr="00622B11">
        <w:rPr>
          <w:rFonts w:asciiTheme="minorHAnsi" w:hAnsiTheme="minorHAnsi" w:cstheme="minorHAnsi"/>
          <w:sz w:val="20"/>
          <w:szCs w:val="20"/>
        </w:rPr>
        <w:t xml:space="preserve">Podaci o gradskom prijevozu putnika dobiveni su neposredno od pravne osobe koja se bavi gradskim prijevozom putnika (tramvajem i autobusom). </w:t>
      </w:r>
    </w:p>
    <w:p w:rsidR="00F84324" w:rsidRPr="000A15C2" w:rsidRDefault="00F84324" w:rsidP="00F84324">
      <w:pPr>
        <w:ind w:right="397"/>
        <w:jc w:val="both"/>
        <w:rPr>
          <w:rFonts w:asciiTheme="minorHAnsi" w:hAnsiTheme="minorHAnsi" w:cstheme="minorHAnsi"/>
          <w:sz w:val="16"/>
          <w:szCs w:val="20"/>
        </w:rPr>
      </w:pPr>
    </w:p>
    <w:p w:rsidR="004B0514" w:rsidRPr="00622B11" w:rsidRDefault="004B0514" w:rsidP="00622B11">
      <w:pPr>
        <w:ind w:left="397" w:right="397"/>
        <w:jc w:val="both"/>
        <w:outlineLvl w:val="0"/>
        <w:rPr>
          <w:rFonts w:asciiTheme="minorHAnsi" w:hAnsiTheme="minorHAnsi" w:cstheme="minorHAnsi"/>
          <w:i/>
          <w:sz w:val="20"/>
          <w:szCs w:val="20"/>
        </w:rPr>
      </w:pPr>
      <w:r w:rsidRPr="00622B11">
        <w:rPr>
          <w:rFonts w:asciiTheme="minorHAnsi" w:hAnsiTheme="minorHAnsi" w:cstheme="minorHAnsi"/>
          <w:b/>
          <w:i/>
          <w:sz w:val="20"/>
          <w:szCs w:val="20"/>
        </w:rPr>
        <w:t>Obuhvat i usporedivost</w:t>
      </w:r>
    </w:p>
    <w:p w:rsidR="004B0514" w:rsidRPr="000A15C2" w:rsidRDefault="004B0514" w:rsidP="00622B11">
      <w:pPr>
        <w:ind w:left="397" w:right="397"/>
        <w:jc w:val="both"/>
        <w:rPr>
          <w:rFonts w:asciiTheme="minorHAnsi" w:hAnsiTheme="minorHAnsi" w:cstheme="minorHAnsi"/>
          <w:sz w:val="16"/>
          <w:szCs w:val="20"/>
        </w:rPr>
      </w:pPr>
    </w:p>
    <w:p w:rsidR="004B0514" w:rsidRPr="00622B11" w:rsidRDefault="004B0514" w:rsidP="00622B11">
      <w:pPr>
        <w:ind w:left="397" w:right="397"/>
        <w:jc w:val="both"/>
        <w:rPr>
          <w:rFonts w:asciiTheme="minorHAnsi" w:hAnsiTheme="minorHAnsi" w:cstheme="minorHAnsi"/>
          <w:sz w:val="20"/>
          <w:szCs w:val="20"/>
        </w:rPr>
      </w:pPr>
      <w:r w:rsidRPr="00622B11">
        <w:rPr>
          <w:rFonts w:asciiTheme="minorHAnsi" w:hAnsiTheme="minorHAnsi" w:cstheme="minorHAnsi"/>
          <w:sz w:val="20"/>
          <w:szCs w:val="20"/>
        </w:rPr>
        <w:tab/>
        <w:t>Za cestovni prijevoz robe obuhvaćeni su poslovni subjekti (pravne i fizičke osobe) koji se bave prijevozom robe, a izabrani su metodom uzorka prema nosivosti vozila. Statističke jedinice promatranja su cestovna teretna motorna vozila (uključujući tegljače) nosivosti veće od 3</w:t>
      </w:r>
      <w:r w:rsidR="00587F78" w:rsidRPr="00622B11">
        <w:rPr>
          <w:rFonts w:asciiTheme="minorHAnsi" w:hAnsiTheme="minorHAnsi" w:cstheme="minorHAnsi"/>
          <w:sz w:val="20"/>
          <w:szCs w:val="20"/>
        </w:rPr>
        <w:t xml:space="preserve"> </w:t>
      </w:r>
      <w:r w:rsidRPr="00622B11">
        <w:rPr>
          <w:rFonts w:asciiTheme="minorHAnsi" w:hAnsiTheme="minorHAnsi" w:cstheme="minorHAnsi"/>
          <w:sz w:val="20"/>
          <w:szCs w:val="20"/>
        </w:rPr>
        <w:t xml:space="preserve">500 kg registrirana u Ministarstvu </w:t>
      </w:r>
      <w:r w:rsidR="006D74CE">
        <w:rPr>
          <w:rFonts w:asciiTheme="minorHAnsi" w:hAnsiTheme="minorHAnsi" w:cstheme="minorHAnsi"/>
          <w:sz w:val="20"/>
          <w:szCs w:val="20"/>
        </w:rPr>
        <w:t>unutarnjih</w:t>
      </w:r>
      <w:r w:rsidRPr="00622B11">
        <w:rPr>
          <w:rFonts w:asciiTheme="minorHAnsi" w:hAnsiTheme="minorHAnsi" w:cstheme="minorHAnsi"/>
          <w:sz w:val="20"/>
          <w:szCs w:val="20"/>
        </w:rPr>
        <w:t xml:space="preserve"> poslova. </w:t>
      </w:r>
    </w:p>
    <w:p w:rsidR="004B0514" w:rsidRPr="000A15C2" w:rsidRDefault="004B0514" w:rsidP="00622B11">
      <w:pPr>
        <w:ind w:left="397" w:right="397" w:firstLine="708"/>
        <w:jc w:val="both"/>
        <w:rPr>
          <w:rFonts w:asciiTheme="minorHAnsi" w:hAnsiTheme="minorHAnsi" w:cstheme="minorHAnsi"/>
          <w:b/>
          <w:sz w:val="16"/>
          <w:szCs w:val="20"/>
        </w:rPr>
      </w:pPr>
    </w:p>
    <w:p w:rsidR="0054507B" w:rsidRDefault="0054507B" w:rsidP="00622B11">
      <w:pPr>
        <w:ind w:left="397" w:right="397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54507B" w:rsidRDefault="0054507B" w:rsidP="00622B11">
      <w:pPr>
        <w:ind w:left="397" w:right="397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4B0514" w:rsidRPr="00622B11" w:rsidRDefault="004B0514" w:rsidP="00622B11">
      <w:pPr>
        <w:ind w:left="397" w:right="397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622B11">
        <w:rPr>
          <w:rFonts w:asciiTheme="minorHAnsi" w:hAnsiTheme="minorHAnsi" w:cstheme="minorHAnsi"/>
          <w:b/>
          <w:i/>
          <w:sz w:val="20"/>
          <w:szCs w:val="20"/>
        </w:rPr>
        <w:lastRenderedPageBreak/>
        <w:t>Definicije</w:t>
      </w:r>
    </w:p>
    <w:p w:rsidR="004B0514" w:rsidRPr="00416BFA" w:rsidRDefault="004B0514" w:rsidP="00622B11">
      <w:pPr>
        <w:ind w:left="397" w:right="397"/>
        <w:jc w:val="both"/>
        <w:rPr>
          <w:rFonts w:asciiTheme="minorHAnsi" w:hAnsiTheme="minorHAnsi" w:cstheme="minorHAnsi"/>
          <w:sz w:val="14"/>
          <w:szCs w:val="20"/>
        </w:rPr>
      </w:pPr>
      <w:r w:rsidRPr="00622B11">
        <w:rPr>
          <w:rFonts w:asciiTheme="minorHAnsi" w:hAnsiTheme="minorHAnsi" w:cstheme="minorHAnsi"/>
          <w:sz w:val="20"/>
          <w:szCs w:val="20"/>
        </w:rPr>
        <w:tab/>
      </w:r>
    </w:p>
    <w:p w:rsidR="009E5065" w:rsidRDefault="009E5065" w:rsidP="009E5065">
      <w:pPr>
        <w:ind w:left="426" w:right="39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</w:t>
      </w:r>
      <w:r w:rsidRPr="009E5065">
        <w:rPr>
          <w:rFonts w:asciiTheme="minorHAnsi" w:hAnsiTheme="minorHAnsi" w:cstheme="minorHAnsi"/>
          <w:i/>
          <w:sz w:val="20"/>
          <w:szCs w:val="20"/>
        </w:rPr>
        <w:t>Međunarodni prijevoz</w:t>
      </w:r>
      <w:r w:rsidRPr="009E5065">
        <w:rPr>
          <w:rFonts w:asciiTheme="minorHAnsi" w:hAnsiTheme="minorHAnsi" w:cstheme="minorHAnsi"/>
          <w:sz w:val="20"/>
          <w:szCs w:val="20"/>
        </w:rPr>
        <w:t xml:space="preserve"> obuhvaća prijevoz između mjesta utovar u našoj zemlji i mjesta istovara u inozemstvu i obratno, te je prijevoz obavljen između dvaju mjesta u inozemstvu.</w:t>
      </w:r>
    </w:p>
    <w:p w:rsidR="00416BFA" w:rsidRPr="00416BFA" w:rsidRDefault="00416BFA" w:rsidP="009E5065">
      <w:pPr>
        <w:ind w:left="426" w:right="397"/>
        <w:jc w:val="both"/>
        <w:rPr>
          <w:rFonts w:asciiTheme="minorHAnsi" w:hAnsiTheme="minorHAnsi" w:cstheme="minorHAnsi"/>
          <w:sz w:val="14"/>
          <w:szCs w:val="20"/>
        </w:rPr>
      </w:pPr>
    </w:p>
    <w:p w:rsidR="004B0514" w:rsidRDefault="009E5065" w:rsidP="00416BFA">
      <w:pPr>
        <w:ind w:left="426" w:right="397"/>
        <w:jc w:val="both"/>
        <w:rPr>
          <w:rFonts w:asciiTheme="minorHAnsi" w:hAnsiTheme="minorHAnsi" w:cstheme="minorHAnsi"/>
          <w:sz w:val="20"/>
          <w:szCs w:val="20"/>
        </w:rPr>
      </w:pPr>
      <w:r w:rsidRPr="009E5065">
        <w:rPr>
          <w:rFonts w:asciiTheme="minorHAnsi" w:hAnsiTheme="minorHAnsi" w:cstheme="minorHAnsi"/>
          <w:sz w:val="20"/>
          <w:szCs w:val="20"/>
        </w:rPr>
        <w:t xml:space="preserve">      </w:t>
      </w:r>
      <w:r w:rsidRPr="009E5065">
        <w:rPr>
          <w:rFonts w:asciiTheme="minorHAnsi" w:hAnsiTheme="minorHAnsi" w:cstheme="minorHAnsi"/>
          <w:i/>
          <w:sz w:val="20"/>
          <w:szCs w:val="20"/>
        </w:rPr>
        <w:t xml:space="preserve">Prijevoz u inozemstvu </w:t>
      </w:r>
      <w:r w:rsidRPr="009E5065">
        <w:rPr>
          <w:rFonts w:asciiTheme="minorHAnsi" w:hAnsiTheme="minorHAnsi" w:cstheme="minorHAnsi"/>
          <w:sz w:val="20"/>
          <w:szCs w:val="20"/>
        </w:rPr>
        <w:t>podrazumijeva međunarodni prijevoz robe koji obavljaju domaći prijevoznici, a zemlja utovar i istovar je strana zemlja.</w:t>
      </w:r>
    </w:p>
    <w:p w:rsidR="00416BFA" w:rsidRPr="00416BFA" w:rsidRDefault="00416BFA" w:rsidP="00416BFA">
      <w:pPr>
        <w:ind w:left="426" w:right="397"/>
        <w:jc w:val="both"/>
        <w:rPr>
          <w:rFonts w:asciiTheme="minorHAnsi" w:hAnsiTheme="minorHAnsi" w:cstheme="minorHAnsi"/>
          <w:sz w:val="14"/>
          <w:szCs w:val="20"/>
        </w:rPr>
      </w:pPr>
    </w:p>
    <w:p w:rsidR="004B0514" w:rsidRPr="00622B11" w:rsidRDefault="004B0514" w:rsidP="00422C5B">
      <w:pPr>
        <w:ind w:left="397" w:right="397"/>
        <w:jc w:val="both"/>
        <w:rPr>
          <w:rFonts w:asciiTheme="minorHAnsi" w:hAnsiTheme="minorHAnsi" w:cstheme="minorHAnsi"/>
          <w:sz w:val="20"/>
          <w:szCs w:val="20"/>
        </w:rPr>
      </w:pPr>
      <w:r w:rsidRPr="00622B11">
        <w:rPr>
          <w:rFonts w:asciiTheme="minorHAnsi" w:hAnsiTheme="minorHAnsi" w:cstheme="minorHAnsi"/>
          <w:sz w:val="20"/>
          <w:szCs w:val="20"/>
        </w:rPr>
        <w:tab/>
      </w:r>
      <w:r w:rsidRPr="00622B11">
        <w:rPr>
          <w:rFonts w:asciiTheme="minorHAnsi" w:hAnsiTheme="minorHAnsi" w:cstheme="minorHAnsi"/>
          <w:i/>
          <w:sz w:val="20"/>
          <w:szCs w:val="20"/>
        </w:rPr>
        <w:t>Tonski kilometar</w:t>
      </w:r>
      <w:r w:rsidRPr="00622B11">
        <w:rPr>
          <w:rFonts w:asciiTheme="minorHAnsi" w:hAnsiTheme="minorHAnsi" w:cstheme="minorHAnsi"/>
          <w:sz w:val="20"/>
          <w:szCs w:val="20"/>
        </w:rPr>
        <w:t xml:space="preserve"> je mjerna jedinica koja izražava prijevoz jedne tone robe na udaljenosti od jednog kilometra.</w:t>
      </w:r>
    </w:p>
    <w:p w:rsidR="00422C5B" w:rsidRDefault="004B0514" w:rsidP="00422C5B">
      <w:pPr>
        <w:spacing w:line="120" w:lineRule="auto"/>
        <w:ind w:right="397"/>
        <w:jc w:val="both"/>
        <w:rPr>
          <w:rFonts w:asciiTheme="minorHAnsi" w:hAnsiTheme="minorHAnsi" w:cstheme="minorHAnsi"/>
          <w:sz w:val="20"/>
          <w:szCs w:val="20"/>
        </w:rPr>
      </w:pPr>
      <w:r w:rsidRPr="00622B11">
        <w:rPr>
          <w:rFonts w:asciiTheme="minorHAnsi" w:hAnsiTheme="minorHAnsi" w:cstheme="minorHAnsi"/>
          <w:sz w:val="20"/>
          <w:szCs w:val="20"/>
        </w:rPr>
        <w:tab/>
      </w:r>
    </w:p>
    <w:p w:rsidR="00416BFA" w:rsidRDefault="00422C5B" w:rsidP="00416BFA">
      <w:pPr>
        <w:ind w:right="39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622B11">
        <w:rPr>
          <w:rFonts w:asciiTheme="minorHAnsi" w:hAnsiTheme="minorHAnsi" w:cstheme="minorHAnsi"/>
          <w:i/>
          <w:sz w:val="20"/>
          <w:szCs w:val="20"/>
        </w:rPr>
        <w:t>Gradski prijevoz</w:t>
      </w:r>
      <w:r w:rsidRPr="00622B11">
        <w:rPr>
          <w:rFonts w:asciiTheme="minorHAnsi" w:hAnsiTheme="minorHAnsi" w:cstheme="minorHAnsi"/>
          <w:sz w:val="20"/>
          <w:szCs w:val="20"/>
        </w:rPr>
        <w:t xml:space="preserve"> putnika obuhvaća organizirani javni prijevoz putnika (tramvajem i autobusom).</w:t>
      </w:r>
      <w:r w:rsidR="004B0514" w:rsidRPr="004B0514">
        <w:rPr>
          <w:rFonts w:asciiTheme="minorHAnsi" w:hAnsiTheme="minorHAnsi" w:cstheme="minorHAnsi"/>
          <w:sz w:val="20"/>
          <w:szCs w:val="20"/>
        </w:rPr>
        <w:tab/>
      </w:r>
    </w:p>
    <w:p w:rsidR="00422C5B" w:rsidRDefault="00422C5B" w:rsidP="00416BFA">
      <w:pPr>
        <w:ind w:right="397"/>
        <w:jc w:val="both"/>
        <w:rPr>
          <w:rFonts w:asciiTheme="minorHAnsi" w:hAnsiTheme="minorHAnsi" w:cstheme="minorHAnsi"/>
          <w:sz w:val="20"/>
          <w:szCs w:val="20"/>
        </w:rPr>
      </w:pPr>
    </w:p>
    <w:p w:rsidR="00422C5B" w:rsidRDefault="00422C5B" w:rsidP="00416BFA">
      <w:pPr>
        <w:ind w:right="397"/>
        <w:jc w:val="both"/>
        <w:rPr>
          <w:rFonts w:asciiTheme="minorHAnsi" w:hAnsiTheme="minorHAnsi" w:cstheme="minorHAnsi"/>
          <w:sz w:val="20"/>
          <w:szCs w:val="20"/>
        </w:rPr>
      </w:pPr>
    </w:p>
    <w:p w:rsidR="000A15C2" w:rsidRPr="00416BFA" w:rsidRDefault="000A15C2" w:rsidP="00416BFA">
      <w:pPr>
        <w:ind w:right="397"/>
        <w:jc w:val="both"/>
        <w:rPr>
          <w:rFonts w:asciiTheme="minorHAnsi" w:hAnsiTheme="minorHAnsi" w:cstheme="minorHAnsi"/>
          <w:sz w:val="20"/>
          <w:szCs w:val="20"/>
        </w:rPr>
      </w:pPr>
    </w:p>
    <w:p w:rsidR="009E5065" w:rsidRPr="00416BFA" w:rsidRDefault="004B0514" w:rsidP="00422C5B">
      <w:pPr>
        <w:ind w:firstLine="284"/>
        <w:jc w:val="both"/>
        <w:outlineLvl w:val="0"/>
        <w:rPr>
          <w:rFonts w:asciiTheme="minorHAnsi" w:hAnsiTheme="minorHAnsi" w:cstheme="minorHAnsi"/>
          <w:sz w:val="18"/>
          <w:szCs w:val="18"/>
        </w:rPr>
      </w:pPr>
      <w:r w:rsidRPr="004B0514"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Pr="004B0514">
        <w:rPr>
          <w:rFonts w:asciiTheme="minorHAnsi" w:hAnsiTheme="minorHAnsi" w:cstheme="minorHAnsi"/>
          <w:sz w:val="18"/>
          <w:szCs w:val="18"/>
        </w:rPr>
        <w:t xml:space="preserve"> Izvor: Državni zavod za statistiku; Pr</w:t>
      </w:r>
      <w:r w:rsidR="0060038B">
        <w:rPr>
          <w:rFonts w:asciiTheme="minorHAnsi" w:hAnsiTheme="minorHAnsi" w:cstheme="minorHAnsi"/>
          <w:sz w:val="18"/>
          <w:szCs w:val="18"/>
        </w:rPr>
        <w:t>iopćenja: Transport, br. 5.1.1.</w:t>
      </w:r>
    </w:p>
    <w:p w:rsidR="00772EF3" w:rsidRDefault="004B0514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  <w:r w:rsidRPr="004B0514">
        <w:rPr>
          <w:rFonts w:asciiTheme="minorHAnsi" w:hAnsiTheme="minorHAnsi" w:cstheme="minorHAnsi"/>
          <w:sz w:val="20"/>
        </w:rPr>
        <w:t xml:space="preserve">             </w:t>
      </w: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422C5B" w:rsidRDefault="004B0514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  <w:r w:rsidRPr="004B0514">
        <w:rPr>
          <w:rFonts w:asciiTheme="minorHAnsi" w:hAnsiTheme="minorHAnsi" w:cstheme="minorHAnsi"/>
          <w:sz w:val="20"/>
        </w:rPr>
        <w:t xml:space="preserve">                                                                      </w:t>
      </w:r>
    </w:p>
    <w:p w:rsidR="00422C5B" w:rsidRDefault="00422C5B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0A15C2" w:rsidRDefault="004B0514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  <w:r w:rsidRPr="004B0514">
        <w:rPr>
          <w:rFonts w:asciiTheme="minorHAnsi" w:hAnsiTheme="minorHAnsi" w:cstheme="minorHAnsi"/>
          <w:sz w:val="20"/>
        </w:rPr>
        <w:t xml:space="preserve">                            </w:t>
      </w:r>
    </w:p>
    <w:p w:rsidR="000A15C2" w:rsidRDefault="004B0514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  <w:r w:rsidRPr="004B0514">
        <w:rPr>
          <w:rFonts w:asciiTheme="minorHAnsi" w:hAnsiTheme="minorHAnsi" w:cstheme="minorHAnsi"/>
          <w:sz w:val="20"/>
        </w:rPr>
        <w:t xml:space="preserve">                                               </w:t>
      </w:r>
    </w:p>
    <w:p w:rsidR="004B0514" w:rsidRPr="004B0514" w:rsidRDefault="004B0514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  <w:r w:rsidRPr="004B0514">
        <w:rPr>
          <w:rFonts w:asciiTheme="minorHAnsi" w:hAnsiTheme="minorHAnsi" w:cstheme="minorHAnsi"/>
          <w:sz w:val="20"/>
        </w:rPr>
        <w:t xml:space="preserve">          </w:t>
      </w:r>
    </w:p>
    <w:p w:rsidR="004B0514" w:rsidRPr="0060038B" w:rsidRDefault="004B0514" w:rsidP="0060038B">
      <w:pPr>
        <w:pStyle w:val="BodyText"/>
        <w:jc w:val="left"/>
        <w:outlineLvl w:val="0"/>
        <w:rPr>
          <w:rFonts w:asciiTheme="minorHAnsi" w:hAnsiTheme="minorHAnsi" w:cstheme="minorHAnsi"/>
          <w:sz w:val="21"/>
          <w:szCs w:val="21"/>
        </w:rPr>
      </w:pPr>
      <w:r w:rsidRPr="0060038B">
        <w:rPr>
          <w:rFonts w:asciiTheme="minorHAnsi" w:hAnsiTheme="minorHAnsi" w:cstheme="minorHAnsi"/>
          <w:sz w:val="21"/>
          <w:szCs w:val="21"/>
        </w:rPr>
        <w:t>MOLIMO KORISNIKE PRIOPĆENJA DA PRILIKOM KORIŠTENJA PODATAKA OBVEZNO NAVEDU IZVOR.</w:t>
      </w:r>
    </w:p>
    <w:sectPr w:rsidR="004B0514" w:rsidRPr="0060038B" w:rsidSect="006405DC">
      <w:footerReference w:type="even" r:id="rId14"/>
      <w:footerReference w:type="default" r:id="rId15"/>
      <w:pgSz w:w="11906" w:h="16838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07B" w:rsidRDefault="0054507B" w:rsidP="001874A7">
      <w:r>
        <w:separator/>
      </w:r>
    </w:p>
  </w:endnote>
  <w:endnote w:type="continuationSeparator" w:id="0">
    <w:p w:rsidR="0054507B" w:rsidRDefault="0054507B" w:rsidP="0018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3807613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0"/>
      </w:rPr>
    </w:sdtEndPr>
    <w:sdtContent>
      <w:p w:rsidR="0054507B" w:rsidRDefault="0054507B">
        <w:pPr>
          <w:pStyle w:val="Footer"/>
        </w:pPr>
        <w:r w:rsidRPr="00EF7409">
          <w:rPr>
            <w:rFonts w:ascii="Calibri" w:hAnsi="Calibri"/>
            <w:sz w:val="20"/>
          </w:rPr>
          <w:fldChar w:fldCharType="begin"/>
        </w:r>
        <w:r w:rsidRPr="00EF7409">
          <w:rPr>
            <w:rFonts w:ascii="Calibri" w:hAnsi="Calibri"/>
            <w:sz w:val="20"/>
          </w:rPr>
          <w:instrText xml:space="preserve"> PAGE   \* MERGEFORMAT </w:instrText>
        </w:r>
        <w:r w:rsidRPr="00EF7409">
          <w:rPr>
            <w:rFonts w:ascii="Calibri" w:hAnsi="Calibri"/>
            <w:sz w:val="20"/>
          </w:rPr>
          <w:fldChar w:fldCharType="separate"/>
        </w:r>
        <w:r w:rsidR="00177D54">
          <w:rPr>
            <w:rFonts w:ascii="Calibri" w:hAnsi="Calibri"/>
            <w:noProof/>
            <w:sz w:val="20"/>
          </w:rPr>
          <w:t>4</w:t>
        </w:r>
        <w:r w:rsidRPr="00EF7409">
          <w:rPr>
            <w:rFonts w:ascii="Calibri" w:hAnsi="Calibri"/>
            <w:noProof/>
            <w:sz w:val="20"/>
          </w:rPr>
          <w:fldChar w:fldCharType="end"/>
        </w:r>
      </w:p>
    </w:sdtContent>
  </w:sdt>
  <w:p w:rsidR="0054507B" w:rsidRDefault="005450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7B" w:rsidRPr="00EF7409" w:rsidRDefault="0054507B">
    <w:pPr>
      <w:pStyle w:val="Footer"/>
      <w:jc w:val="right"/>
      <w:rPr>
        <w:rFonts w:ascii="Calibri" w:hAnsi="Calibri"/>
        <w:sz w:val="20"/>
      </w:rPr>
    </w:pPr>
    <w:r w:rsidRPr="00EF7409">
      <w:rPr>
        <w:rFonts w:ascii="Calibri" w:hAnsi="Calibri"/>
        <w:sz w:val="20"/>
      </w:rPr>
      <w:t>3</w:t>
    </w:r>
  </w:p>
  <w:p w:rsidR="0054507B" w:rsidRDefault="005450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07B" w:rsidRDefault="0054507B" w:rsidP="001874A7">
      <w:r>
        <w:separator/>
      </w:r>
    </w:p>
  </w:footnote>
  <w:footnote w:type="continuationSeparator" w:id="0">
    <w:p w:rsidR="0054507B" w:rsidRDefault="0054507B" w:rsidP="00187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C7"/>
    <w:rsid w:val="0000505C"/>
    <w:rsid w:val="0001796F"/>
    <w:rsid w:val="00026675"/>
    <w:rsid w:val="00046E35"/>
    <w:rsid w:val="000637E9"/>
    <w:rsid w:val="00071728"/>
    <w:rsid w:val="00076DF4"/>
    <w:rsid w:val="00077D32"/>
    <w:rsid w:val="00080906"/>
    <w:rsid w:val="0009776D"/>
    <w:rsid w:val="000A15C2"/>
    <w:rsid w:val="000A72DA"/>
    <w:rsid w:val="000C7F69"/>
    <w:rsid w:val="000F5A4A"/>
    <w:rsid w:val="00100597"/>
    <w:rsid w:val="001014E7"/>
    <w:rsid w:val="00112E73"/>
    <w:rsid w:val="0015321C"/>
    <w:rsid w:val="00177D54"/>
    <w:rsid w:val="0018678B"/>
    <w:rsid w:val="001874A7"/>
    <w:rsid w:val="001A13AC"/>
    <w:rsid w:val="001D4649"/>
    <w:rsid w:val="0023063D"/>
    <w:rsid w:val="002322DE"/>
    <w:rsid w:val="00275A8A"/>
    <w:rsid w:val="00281210"/>
    <w:rsid w:val="002B61C4"/>
    <w:rsid w:val="002D700A"/>
    <w:rsid w:val="002F0002"/>
    <w:rsid w:val="00323EE5"/>
    <w:rsid w:val="00334584"/>
    <w:rsid w:val="00360265"/>
    <w:rsid w:val="003654BA"/>
    <w:rsid w:val="003861D1"/>
    <w:rsid w:val="00392B67"/>
    <w:rsid w:val="003A43B1"/>
    <w:rsid w:val="003C21B8"/>
    <w:rsid w:val="003F5663"/>
    <w:rsid w:val="003F689D"/>
    <w:rsid w:val="00406475"/>
    <w:rsid w:val="00413235"/>
    <w:rsid w:val="00416BFA"/>
    <w:rsid w:val="0042080A"/>
    <w:rsid w:val="00422C5B"/>
    <w:rsid w:val="00447876"/>
    <w:rsid w:val="00450A05"/>
    <w:rsid w:val="00465448"/>
    <w:rsid w:val="004A4341"/>
    <w:rsid w:val="004B0514"/>
    <w:rsid w:val="004B2C1B"/>
    <w:rsid w:val="004C169C"/>
    <w:rsid w:val="004D1C38"/>
    <w:rsid w:val="004D2CBC"/>
    <w:rsid w:val="004E2A02"/>
    <w:rsid w:val="00501594"/>
    <w:rsid w:val="00527576"/>
    <w:rsid w:val="005409EB"/>
    <w:rsid w:val="00544D94"/>
    <w:rsid w:val="0054507B"/>
    <w:rsid w:val="00587F78"/>
    <w:rsid w:val="005A39F5"/>
    <w:rsid w:val="0060038B"/>
    <w:rsid w:val="0061099D"/>
    <w:rsid w:val="00622B11"/>
    <w:rsid w:val="006405DC"/>
    <w:rsid w:val="00653FAA"/>
    <w:rsid w:val="006541B7"/>
    <w:rsid w:val="006604E5"/>
    <w:rsid w:val="00665063"/>
    <w:rsid w:val="00667A17"/>
    <w:rsid w:val="006A29F2"/>
    <w:rsid w:val="006B3321"/>
    <w:rsid w:val="006C1B94"/>
    <w:rsid w:val="006D74CE"/>
    <w:rsid w:val="006F7ED9"/>
    <w:rsid w:val="0071422E"/>
    <w:rsid w:val="00733312"/>
    <w:rsid w:val="00742999"/>
    <w:rsid w:val="00761AE1"/>
    <w:rsid w:val="00772EF3"/>
    <w:rsid w:val="007753BF"/>
    <w:rsid w:val="00777823"/>
    <w:rsid w:val="00794208"/>
    <w:rsid w:val="00806467"/>
    <w:rsid w:val="00813FE5"/>
    <w:rsid w:val="00814791"/>
    <w:rsid w:val="00820B39"/>
    <w:rsid w:val="00820F5A"/>
    <w:rsid w:val="00836BD2"/>
    <w:rsid w:val="00843B25"/>
    <w:rsid w:val="0085481B"/>
    <w:rsid w:val="0086398B"/>
    <w:rsid w:val="00873388"/>
    <w:rsid w:val="00874C24"/>
    <w:rsid w:val="00874C45"/>
    <w:rsid w:val="008802A6"/>
    <w:rsid w:val="008B4800"/>
    <w:rsid w:val="008C23F1"/>
    <w:rsid w:val="008D40FE"/>
    <w:rsid w:val="008F206C"/>
    <w:rsid w:val="00970E77"/>
    <w:rsid w:val="00987F58"/>
    <w:rsid w:val="009A0C9C"/>
    <w:rsid w:val="009A3414"/>
    <w:rsid w:val="009D12B7"/>
    <w:rsid w:val="009E5065"/>
    <w:rsid w:val="009F648C"/>
    <w:rsid w:val="00A1610F"/>
    <w:rsid w:val="00A30132"/>
    <w:rsid w:val="00A54B84"/>
    <w:rsid w:val="00A75AC0"/>
    <w:rsid w:val="00A80AC7"/>
    <w:rsid w:val="00AA25E7"/>
    <w:rsid w:val="00AA6341"/>
    <w:rsid w:val="00AE6F1C"/>
    <w:rsid w:val="00B8122A"/>
    <w:rsid w:val="00BB4DA5"/>
    <w:rsid w:val="00BB6443"/>
    <w:rsid w:val="00BC69DA"/>
    <w:rsid w:val="00BD09D6"/>
    <w:rsid w:val="00BE5E69"/>
    <w:rsid w:val="00C100F0"/>
    <w:rsid w:val="00C55664"/>
    <w:rsid w:val="00C62DBE"/>
    <w:rsid w:val="00C650D5"/>
    <w:rsid w:val="00C865ED"/>
    <w:rsid w:val="00CA16BF"/>
    <w:rsid w:val="00CB7420"/>
    <w:rsid w:val="00CD64A1"/>
    <w:rsid w:val="00CD743C"/>
    <w:rsid w:val="00CE20C7"/>
    <w:rsid w:val="00CE60BF"/>
    <w:rsid w:val="00CF328E"/>
    <w:rsid w:val="00D16D4F"/>
    <w:rsid w:val="00D321DA"/>
    <w:rsid w:val="00D42403"/>
    <w:rsid w:val="00D45657"/>
    <w:rsid w:val="00D8518C"/>
    <w:rsid w:val="00D879CF"/>
    <w:rsid w:val="00D93CF1"/>
    <w:rsid w:val="00DB1CEA"/>
    <w:rsid w:val="00DB5EC6"/>
    <w:rsid w:val="00DC2CB1"/>
    <w:rsid w:val="00DD010E"/>
    <w:rsid w:val="00DD1B07"/>
    <w:rsid w:val="00DD210D"/>
    <w:rsid w:val="00DE02A7"/>
    <w:rsid w:val="00DE51AF"/>
    <w:rsid w:val="00DF7004"/>
    <w:rsid w:val="00E02E4A"/>
    <w:rsid w:val="00E34817"/>
    <w:rsid w:val="00E66DD0"/>
    <w:rsid w:val="00EC1855"/>
    <w:rsid w:val="00EF7409"/>
    <w:rsid w:val="00F25271"/>
    <w:rsid w:val="00F2724A"/>
    <w:rsid w:val="00F83387"/>
    <w:rsid w:val="00F84324"/>
    <w:rsid w:val="00F9765D"/>
    <w:rsid w:val="00FB5E5B"/>
    <w:rsid w:val="00FC6867"/>
    <w:rsid w:val="00FD4D79"/>
    <w:rsid w:val="00FF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B0514"/>
    <w:pPr>
      <w:jc w:val="both"/>
    </w:pPr>
    <w:rPr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4B0514"/>
    <w:rPr>
      <w:b/>
      <w:bCs/>
      <w:szCs w:val="24"/>
    </w:rPr>
  </w:style>
  <w:style w:type="paragraph" w:styleId="Header">
    <w:name w:val="header"/>
    <w:basedOn w:val="Normal"/>
    <w:link w:val="HeaderChar"/>
    <w:rsid w:val="001874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874A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874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4A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B0514"/>
    <w:pPr>
      <w:jc w:val="both"/>
    </w:pPr>
    <w:rPr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4B0514"/>
    <w:rPr>
      <w:b/>
      <w:bCs/>
      <w:szCs w:val="24"/>
    </w:rPr>
  </w:style>
  <w:style w:type="paragraph" w:styleId="Header">
    <w:name w:val="header"/>
    <w:basedOn w:val="Normal"/>
    <w:link w:val="HeaderChar"/>
    <w:rsid w:val="001874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874A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874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4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0"/>
            </a:pPr>
            <a:r>
              <a:rPr lang="en-US" sz="1000" b="0"/>
              <a:t>STR</a:t>
            </a:r>
            <a:r>
              <a:rPr lang="hr-HR" sz="1000" b="0"/>
              <a:t>UKTURA GRADSKOG PRIJEVOZA PUTNIKA,</a:t>
            </a:r>
          </a:p>
          <a:p>
            <a:pPr>
              <a:defRPr sz="1000" b="0"/>
            </a:pPr>
            <a:r>
              <a:rPr lang="hr-HR" sz="1000" b="0"/>
              <a:t>IV. - VI. 2016.</a:t>
            </a:r>
            <a:endParaRPr lang="en-US" sz="1000" b="0"/>
          </a:p>
        </c:rich>
      </c:tx>
      <c:layout>
        <c:manualLayout>
          <c:xMode val="edge"/>
          <c:yMode val="edge"/>
          <c:x val="0.2685676365710658"/>
          <c:y val="2.2707684795214549E-2"/>
        </c:manualLayout>
      </c:layout>
      <c:overlay val="0"/>
    </c:title>
    <c:autoTitleDeleted val="0"/>
    <c:view3D>
      <c:rotX val="30"/>
      <c:rotY val="33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194444444444445"/>
          <c:y val="0.35897710702828817"/>
          <c:w val="0.77222222222222225"/>
          <c:h val="0.61526356080489941"/>
        </c:manualLayout>
      </c:layout>
      <c:pie3DChart>
        <c:varyColors val="1"/>
        <c:ser>
          <c:idx val="0"/>
          <c:order val="0"/>
          <c:explosion val="25"/>
          <c:dPt>
            <c:idx val="1"/>
            <c:bubble3D val="0"/>
            <c:spPr>
              <a:pattFill prst="horzBrick">
                <a:fgClr>
                  <a:srgbClr val="FF0000"/>
                </a:fgClr>
                <a:bgClr>
                  <a:schemeClr val="bg1"/>
                </a:bgClr>
              </a:pattFill>
            </c:spPr>
          </c:dPt>
          <c:dPt>
            <c:idx val="2"/>
            <c:bubble3D val="0"/>
            <c:spPr>
              <a:solidFill>
                <a:schemeClr val="accent2"/>
              </a:solidFill>
            </c:spPr>
          </c:dPt>
          <c:dLbls>
            <c:dLbl>
              <c:idx val="0"/>
              <c:layout>
                <c:manualLayout>
                  <c:x val="2.2698818897637797E-2"/>
                  <c:y val="-0.1110436716243802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5.3450349956255467E-3"/>
                  <c:y val="2.992599883347914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4.6197397200349953E-2"/>
                  <c:y val="4.3431029454651503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txPr>
              <a:bodyPr/>
              <a:lstStyle/>
              <a:p>
                <a:pPr>
                  <a:defRPr sz="900"/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'Tab. 4.'!$L$14:$L$16</c:f>
              <c:strCache>
                <c:ptCount val="3"/>
                <c:pt idx="0">
                  <c:v>tramvaj</c:v>
                </c:pt>
                <c:pt idx="1">
                  <c:v>autobus</c:v>
                </c:pt>
                <c:pt idx="2">
                  <c:v>žičara i uspinjača</c:v>
                </c:pt>
              </c:strCache>
            </c:strRef>
          </c:cat>
          <c:val>
            <c:numRef>
              <c:f>'Tab. 4.'!$M$14:$M$16</c:f>
              <c:numCache>
                <c:formatCode>General</c:formatCode>
                <c:ptCount val="3"/>
                <c:pt idx="0">
                  <c:v>68.3</c:v>
                </c:pt>
                <c:pt idx="1">
                  <c:v>31.4</c:v>
                </c:pt>
                <c:pt idx="2">
                  <c:v>0.3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215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bmarkac</dc:creator>
  <cp:lastModifiedBy>Željka Jurčić</cp:lastModifiedBy>
  <cp:revision>28</cp:revision>
  <cp:lastPrinted>2016-09-15T12:54:00Z</cp:lastPrinted>
  <dcterms:created xsi:type="dcterms:W3CDTF">2016-06-07T07:18:00Z</dcterms:created>
  <dcterms:modified xsi:type="dcterms:W3CDTF">2016-09-15T12:54:00Z</dcterms:modified>
</cp:coreProperties>
</file>